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B2F4" w14:textId="77777777" w:rsidR="00E63DD1" w:rsidRPr="00E63DD1" w:rsidRDefault="002A30E0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drawing>
          <wp:anchor distT="0" distB="0" distL="0" distR="0" simplePos="0" relativeHeight="251656192" behindDoc="0" locked="0" layoutInCell="1" allowOverlap="1" wp14:anchorId="368E3D34" wp14:editId="6B4B2880">
            <wp:simplePos x="0" y="0"/>
            <wp:positionH relativeFrom="page">
              <wp:posOffset>6224270</wp:posOffset>
            </wp:positionH>
            <wp:positionV relativeFrom="page">
              <wp:posOffset>230505</wp:posOffset>
            </wp:positionV>
            <wp:extent cx="1125220" cy="8439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2626A" w14:textId="0AC04B79" w:rsidR="00653DC6" w:rsidRPr="00E63DD1" w:rsidRDefault="00653DC6" w:rsidP="00E63DD1">
      <w:pPr>
        <w:spacing w:line="360" w:lineRule="auto"/>
        <w:jc w:val="center"/>
        <w:rPr>
          <w:rFonts w:ascii="Calibri" w:hAnsi="Calibri" w:cs="Calibri"/>
          <w:b/>
          <w:bCs/>
          <w:sz w:val="30"/>
          <w:szCs w:val="30"/>
          <w:lang w:val="fr-FR"/>
        </w:rPr>
      </w:pPr>
      <w:r w:rsidRPr="00E63DD1">
        <w:rPr>
          <w:rFonts w:ascii="Calibri" w:hAnsi="Calibri" w:cs="Calibri"/>
          <w:b/>
          <w:bCs/>
          <w:sz w:val="30"/>
          <w:szCs w:val="30"/>
          <w:lang w:val="fr-FR"/>
        </w:rPr>
        <w:t xml:space="preserve">DKV </w:t>
      </w:r>
      <w:proofErr w:type="spellStart"/>
      <w:r w:rsidRPr="00E63DD1">
        <w:rPr>
          <w:rFonts w:ascii="Calibri" w:hAnsi="Calibri" w:cs="Calibri"/>
          <w:b/>
          <w:bCs/>
          <w:sz w:val="30"/>
          <w:szCs w:val="30"/>
          <w:lang w:val="fr-FR"/>
        </w:rPr>
        <w:t>Mobility</w:t>
      </w:r>
      <w:proofErr w:type="spellEnd"/>
      <w:r w:rsidRPr="00E63DD1">
        <w:rPr>
          <w:rFonts w:ascii="Calibri" w:hAnsi="Calibri" w:cs="Calibri"/>
          <w:b/>
          <w:bCs/>
          <w:sz w:val="30"/>
          <w:szCs w:val="30"/>
          <w:lang w:val="fr-FR"/>
        </w:rPr>
        <w:t xml:space="preserve"> offre un accès à l'un des plus grands réseaux de recharge électrique d'Europe avec plus de 651 000 points de recharge</w:t>
      </w:r>
    </w:p>
    <w:p w14:paraId="631659F1" w14:textId="77777777" w:rsidR="00653DC6" w:rsidRPr="00E63DD1" w:rsidRDefault="00653DC6" w:rsidP="00E63DD1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E63DD1">
        <w:rPr>
          <w:rFonts w:ascii="Calibri" w:hAnsi="Calibri" w:cs="Calibri"/>
          <w:i/>
          <w:iCs/>
          <w:sz w:val="20"/>
          <w:szCs w:val="20"/>
          <w:lang w:val="fr-FR"/>
        </w:rPr>
        <w:t>Expansion rapide avec une moyenne de 20 000 nouvelles connexions par mois</w:t>
      </w:r>
    </w:p>
    <w:p w14:paraId="6B855FCB" w14:textId="77777777" w:rsidR="00653DC6" w:rsidRPr="00E63DD1" w:rsidRDefault="00653DC6" w:rsidP="00E63DD1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E63DD1">
        <w:rPr>
          <w:rFonts w:ascii="Calibri" w:hAnsi="Calibri" w:cs="Calibri"/>
          <w:i/>
          <w:iCs/>
          <w:sz w:val="20"/>
          <w:szCs w:val="20"/>
          <w:lang w:val="fr-FR"/>
        </w:rPr>
        <w:t>Leader, en Allemagne, avec une couverture réseau de près de 100 %*</w:t>
      </w:r>
    </w:p>
    <w:p w14:paraId="76B8E880" w14:textId="77777777" w:rsidR="00653DC6" w:rsidRPr="00E63DD1" w:rsidRDefault="00653DC6" w:rsidP="00E63DD1">
      <w:pPr>
        <w:spacing w:line="360" w:lineRule="auto"/>
        <w:jc w:val="center"/>
        <w:rPr>
          <w:rFonts w:ascii="Calibri" w:hAnsi="Calibri" w:cs="Calibri"/>
          <w:i/>
          <w:iCs/>
          <w:sz w:val="20"/>
          <w:szCs w:val="20"/>
          <w:lang w:val="fr-FR"/>
        </w:rPr>
      </w:pPr>
      <w:r w:rsidRPr="00E63DD1">
        <w:rPr>
          <w:rFonts w:ascii="Calibri" w:hAnsi="Calibri" w:cs="Calibri"/>
          <w:i/>
          <w:iCs/>
          <w:sz w:val="20"/>
          <w:szCs w:val="20"/>
          <w:lang w:val="fr-FR"/>
        </w:rPr>
        <w:t>Conduisez en toute détente grâce à une couverture élevée le long des principaux axes de circulation européens</w:t>
      </w:r>
    </w:p>
    <w:p w14:paraId="2EBC7D26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1019DE05" w14:textId="5A6F3E9E" w:rsidR="00653DC6" w:rsidRPr="00E63DD1" w:rsidRDefault="00E63DD1" w:rsidP="00E63DD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Noordwijkerhout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>, 12 mars 2024 -</w:t>
      </w:r>
      <w:r w:rsidR="00653DC6" w:rsidRPr="00E63DD1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DKV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, première plateforme B2B européenne de solutions de paiement en déplacement, offre désormais un accès à plus de 651 000 points de recharge électrique et constitue ainsi l'un des plus grands réseaux de recharge d'Europe. Dès juin 2023, DKV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 a réussi à franchir le cap des 500 000 points de recharge et a connu, par la suite, une croissance d’environ 20 000 nouvelles connexions en moyenne, chaque mois. DKV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 réalise ainsi l’expansion prioritaire de son réseau européen de points d'acceptation, proposant des capacités de charge optimales et une couverture de près de 100 % en Allemagne et le long des principaux axes de circulation européens. Enfin, les clients de DKV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 ont désormais accès à plus de 10 000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Superchargers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 Tesla et bornes de recharge à haut rendement de </w:t>
      </w:r>
      <w:proofErr w:type="spellStart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Milence</w:t>
      </w:r>
      <w:proofErr w:type="spellEnd"/>
      <w:r w:rsidR="00653DC6" w:rsidRPr="00E63DD1">
        <w:rPr>
          <w:rFonts w:ascii="Calibri" w:hAnsi="Calibri" w:cs="Calibri"/>
          <w:b/>
          <w:bCs/>
          <w:sz w:val="20"/>
          <w:szCs w:val="20"/>
          <w:lang w:val="fr-FR"/>
        </w:rPr>
        <w:t>. Ces dernières, d'une capacité allant jusqu'à 400 kW, sont spécialement équipées pour les e-trucks.</w:t>
      </w:r>
    </w:p>
    <w:p w14:paraId="4B6716AB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CDD8872" w14:textId="13092128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« L'expansion de notre réseau de recharge progresse à grands pas. Il s’agit, pour nous, d'un facteur décisif pour le succès futur de l'e-mobilité et la transition énergétique dans le transport routier », déclare Sven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Mehringer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, directeur général de l'énergie et des services aux véhicules chez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. </w:t>
      </w:r>
      <w:r w:rsidR="00F83A6C" w:rsidRPr="00E63DD1">
        <w:rPr>
          <w:rFonts w:ascii="Calibri" w:hAnsi="Calibri" w:cs="Calibri"/>
          <w:sz w:val="20"/>
          <w:szCs w:val="20"/>
          <w:lang w:val="fr-FR"/>
        </w:rPr>
        <w:t xml:space="preserve">Outre </w:t>
      </w:r>
      <w:r w:rsidRPr="00E63DD1">
        <w:rPr>
          <w:rFonts w:ascii="Calibri" w:hAnsi="Calibri" w:cs="Calibri"/>
          <w:sz w:val="20"/>
          <w:szCs w:val="20"/>
          <w:lang w:val="fr-FR"/>
        </w:rPr>
        <w:t xml:space="preserve">l'accès à plus de 651 000 points de charge, nous pouvons offrir à la clientèle un surplus de confort en proposant de plus en plus de points de charge rapides DC et des services numériques encore plus intuitifs et fluides, tels que l'application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et notre portail client. »</w:t>
      </w:r>
    </w:p>
    <w:p w14:paraId="69C84D96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1922B29" w14:textId="0276F7E9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Le réseau de recharge mis à disposition par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est contrôlé, sur le plan technique à partir de la plateforme de la filiale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GreenFlux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, laquelle gère l’ensemble de l’offre de recharge électrique de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. Outre l'accès aux bornes de recharge publiques et semi-publiques,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propose également des solutions de recharge sur les sites d'entreprise ou au domicile des conducteurs, y compris un ensemble complet de services de gestion allant du conseil technique et de l'installation, à la transparence de la facturation et du paiement.</w:t>
      </w:r>
    </w:p>
    <w:p w14:paraId="196C8DC0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4BFE6BD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Pour en savoir plus, rendez-vous sur </w:t>
      </w:r>
      <w:hyperlink r:id="rId9" w:history="1"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www.dkv-mobility.com</w:t>
        </w:r>
      </w:hyperlink>
    </w:p>
    <w:p w14:paraId="7E214219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DDAEB04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*Calculé sur la base des données de la plateforme </w:t>
      </w:r>
      <w:hyperlink r:id="rId10" w:anchor="%3A~%3Atext%3DAktuell%20f%C3%BChren%20wir%2038.285%20Standorte%2CDeutschland%20in%20unserem%20Lades%C3%A4ulenverzeichnis%20auf" w:history="1">
        <w:proofErr w:type="spellStart"/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Going</w:t>
        </w:r>
        <w:proofErr w:type="spellEnd"/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 xml:space="preserve"> Electric</w:t>
        </w:r>
      </w:hyperlink>
      <w:r w:rsidRPr="00E63DD1">
        <w:rPr>
          <w:rFonts w:ascii="Calibri" w:hAnsi="Calibri" w:cs="Calibri"/>
          <w:sz w:val="20"/>
          <w:szCs w:val="20"/>
          <w:lang w:val="fr-FR"/>
        </w:rPr>
        <w:t xml:space="preserve"> et de la </w:t>
      </w:r>
      <w:hyperlink r:id="rId11" w:history="1">
        <w:proofErr w:type="spellStart"/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Bundesnetzagentur</w:t>
        </w:r>
        <w:proofErr w:type="spellEnd"/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.</w:t>
        </w:r>
      </w:hyperlink>
    </w:p>
    <w:p w14:paraId="493262C2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65F27BE0" w14:textId="77777777" w:rsidR="00E63DD1" w:rsidRDefault="00E63DD1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353BF3B0" w14:textId="77777777" w:rsidR="00E63DD1" w:rsidRDefault="00E63DD1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D037ED3" w14:textId="2287224F" w:rsidR="00653DC6" w:rsidRPr="00E63DD1" w:rsidRDefault="00653DC6" w:rsidP="00E63DD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E63DD1">
        <w:rPr>
          <w:rFonts w:ascii="Calibri" w:hAnsi="Calibri" w:cs="Calibri"/>
          <w:b/>
          <w:bCs/>
          <w:sz w:val="20"/>
          <w:szCs w:val="20"/>
          <w:lang w:val="fr-FR"/>
        </w:rPr>
        <w:lastRenderedPageBreak/>
        <w:t xml:space="preserve">A propos de DKV </w:t>
      </w:r>
      <w:proofErr w:type="spellStart"/>
      <w:r w:rsidRPr="00E63DD1">
        <w:rPr>
          <w:rFonts w:ascii="Calibri" w:hAnsi="Calibri" w:cs="Calibri"/>
          <w:b/>
          <w:bCs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b/>
          <w:bCs/>
          <w:sz w:val="20"/>
          <w:szCs w:val="20"/>
          <w:lang w:val="fr-FR"/>
        </w:rPr>
        <w:t>*</w:t>
      </w:r>
    </w:p>
    <w:p w14:paraId="7A253007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Avec ~ 356 000 clients actifs dans plus de 50 pays de services partout en Europe et ~ 2 400 collaborateurs,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66 000 stations-services classiques, 633 000 bornes de recharge publiques et semi-publiques et 21 000 stations-services distribuant des carburants alternatifs.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32 000 partenaires contractuels et des solutions numériques innovantes. Sur la base de son chiffre d’affaires généré par des solutions financières,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se classe premier fournisseur de prestations de services en matière de restitution de la TVA. En 2022,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a généré un volume de transactions de 17 milliards d’euros et un chiffre d’affaires de 621 millions d’euros. L’entreprise a pour devise : Mener la transition vers l’avenir d’une mobilité efficace et durable.</w:t>
      </w:r>
    </w:p>
    <w:p w14:paraId="2F21CEFB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18"/>
          <w:szCs w:val="18"/>
          <w:lang w:val="fr-FR"/>
        </w:rPr>
      </w:pPr>
      <w:r w:rsidRPr="00E63DD1">
        <w:rPr>
          <w:rFonts w:ascii="Calibri" w:hAnsi="Calibri" w:cs="Calibri"/>
          <w:sz w:val="18"/>
          <w:szCs w:val="18"/>
          <w:lang w:val="fr-FR"/>
        </w:rPr>
        <w:t>*Données en vigueur au 31 décembre 2023, sauf indication contraire.</w:t>
      </w:r>
    </w:p>
    <w:p w14:paraId="3F0E4CE0" w14:textId="77777777" w:rsidR="00653DC6" w:rsidRPr="00E63DD1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41066C00" w14:textId="207B496E" w:rsidR="00653DC6" w:rsidRPr="00E63DD1" w:rsidRDefault="00653DC6" w:rsidP="00E63DD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E63DD1">
        <w:rPr>
          <w:rFonts w:ascii="Calibri" w:hAnsi="Calibri" w:cs="Calibri"/>
          <w:b/>
          <w:bCs/>
          <w:sz w:val="20"/>
          <w:szCs w:val="20"/>
          <w:lang w:val="fr-FR"/>
        </w:rPr>
        <w:t>Légende photo :</w:t>
      </w:r>
    </w:p>
    <w:p w14:paraId="35143EF4" w14:textId="3BE29EDE" w:rsidR="00653DC6" w:rsidRPr="00E63DD1" w:rsidRDefault="00E63DD1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noProof/>
          <w:sz w:val="20"/>
          <w:szCs w:val="20"/>
          <w:lang w:val="fr-FR"/>
        </w:rPr>
        <w:drawing>
          <wp:inline distT="0" distB="0" distL="0" distR="0" wp14:anchorId="7FF57340" wp14:editId="7A2269CD">
            <wp:extent cx="5181600" cy="3454400"/>
            <wp:effectExtent l="0" t="0" r="0" b="0"/>
            <wp:docPr id="1453513354" name="Afbeelding 1" descr="Afbeelding met persoon, buitenshuis, voertuig, au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13354" name="Afbeelding 1" descr="Afbeelding met persoon, buitenshuis, voertuig, aut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28" cy="345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DDDE" w14:textId="074676C9" w:rsidR="002A30E0" w:rsidRDefault="00653DC6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 offre désormais un accès à plus de 651 000 points de recharge électrique, et devient, ainsi, l'un des plus grands réseaux de recharge d'Europe. (Photo</w:t>
      </w:r>
      <w:r w:rsidR="00F83A6C" w:rsidRPr="00E63DD1">
        <w:rPr>
          <w:rFonts w:ascii="Calibri" w:hAnsi="Calibri" w:cs="Calibri"/>
          <w:sz w:val="20"/>
          <w:szCs w:val="20"/>
          <w:lang w:val="fr-FR"/>
        </w:rPr>
        <w:t> :</w:t>
      </w:r>
      <w:r w:rsidRPr="00E63DD1">
        <w:rPr>
          <w:rFonts w:ascii="Calibri" w:hAnsi="Calibri" w:cs="Calibri"/>
          <w:sz w:val="20"/>
          <w:szCs w:val="20"/>
          <w:lang w:val="fr-FR"/>
        </w:rPr>
        <w:t xml:space="preserve"> DKV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Mobility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>)</w:t>
      </w:r>
    </w:p>
    <w:p w14:paraId="5E3B198A" w14:textId="77777777" w:rsidR="00E63DD1" w:rsidRDefault="00E63DD1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</w:p>
    <w:p w14:paraId="27594504" w14:textId="77777777" w:rsidR="00E63DD1" w:rsidRDefault="00E63DD1" w:rsidP="00E63DD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</w:p>
    <w:p w14:paraId="7A128B5E" w14:textId="0E59D551" w:rsidR="00E63DD1" w:rsidRPr="00E63DD1" w:rsidRDefault="00E63DD1" w:rsidP="00E63DD1">
      <w:pPr>
        <w:spacing w:line="360" w:lineRule="auto"/>
        <w:rPr>
          <w:rFonts w:ascii="Calibri" w:hAnsi="Calibri" w:cs="Calibri"/>
          <w:b/>
          <w:bCs/>
          <w:sz w:val="20"/>
          <w:szCs w:val="20"/>
          <w:lang w:val="fr-FR"/>
        </w:rPr>
      </w:pPr>
      <w:r w:rsidRPr="00E63DD1">
        <w:rPr>
          <w:rFonts w:ascii="Calibri" w:hAnsi="Calibri" w:cs="Calibri"/>
          <w:b/>
          <w:bCs/>
          <w:sz w:val="20"/>
          <w:szCs w:val="20"/>
          <w:lang w:val="fr-FR"/>
        </w:rPr>
        <w:t xml:space="preserve">Contacts pour la presse : </w:t>
      </w:r>
    </w:p>
    <w:p w14:paraId="35A1C9FE" w14:textId="1692004E" w:rsidR="00E63DD1" w:rsidRPr="00E63DD1" w:rsidRDefault="00E63DD1" w:rsidP="00E63DD1">
      <w:pPr>
        <w:spacing w:line="360" w:lineRule="auto"/>
        <w:rPr>
          <w:rFonts w:ascii="Calibri" w:hAnsi="Calibri" w:cs="Calibri"/>
          <w:sz w:val="20"/>
          <w:szCs w:val="20"/>
          <w:lang w:val="fr-FR"/>
        </w:rPr>
      </w:pPr>
      <w:r w:rsidRPr="00E63DD1">
        <w:rPr>
          <w:rFonts w:ascii="Calibri" w:hAnsi="Calibri" w:cs="Calibri"/>
          <w:sz w:val="20"/>
          <w:szCs w:val="20"/>
          <w:lang w:val="fr-FR"/>
        </w:rPr>
        <w:t xml:space="preserve">Contact DKV : Greta </w:t>
      </w:r>
      <w:proofErr w:type="spellStart"/>
      <w:r w:rsidRPr="00E63DD1">
        <w:rPr>
          <w:rFonts w:ascii="Calibri" w:hAnsi="Calibri" w:cs="Calibri"/>
          <w:sz w:val="20"/>
          <w:szCs w:val="20"/>
          <w:lang w:val="fr-FR"/>
        </w:rPr>
        <w:t>Lammerse</w:t>
      </w:r>
      <w:proofErr w:type="spellEnd"/>
      <w:r w:rsidRPr="00E63DD1">
        <w:rPr>
          <w:rFonts w:ascii="Calibri" w:hAnsi="Calibri" w:cs="Calibri"/>
          <w:sz w:val="20"/>
          <w:szCs w:val="20"/>
          <w:lang w:val="fr-FR"/>
        </w:rPr>
        <w:t xml:space="preserve">, tél. : +31 252345665, </w:t>
      </w:r>
      <w:proofErr w:type="gramStart"/>
      <w:r w:rsidRPr="00E63DD1">
        <w:rPr>
          <w:rFonts w:ascii="Calibri" w:hAnsi="Calibri" w:cs="Calibri"/>
          <w:sz w:val="20"/>
          <w:szCs w:val="20"/>
          <w:lang w:val="fr-FR"/>
        </w:rPr>
        <w:t>e-mail</w:t>
      </w:r>
      <w:proofErr w:type="gramEnd"/>
      <w:r w:rsidRPr="00E63DD1">
        <w:rPr>
          <w:rFonts w:ascii="Calibri" w:hAnsi="Calibri" w:cs="Calibri"/>
          <w:sz w:val="20"/>
          <w:szCs w:val="20"/>
          <w:lang w:val="fr-FR"/>
        </w:rPr>
        <w:t xml:space="preserve"> : </w:t>
      </w:r>
      <w:hyperlink r:id="rId13" w:history="1"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Greta.Lammerse@dkv-mobility.com</w:t>
        </w:r>
      </w:hyperlink>
      <w:r w:rsidRPr="00E63DD1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E63DD1">
        <w:rPr>
          <w:rFonts w:ascii="Calibri" w:hAnsi="Calibri" w:cs="Calibri"/>
          <w:sz w:val="20"/>
          <w:szCs w:val="20"/>
          <w:lang w:val="fr-FR"/>
        </w:rPr>
        <w:br/>
        <w:t xml:space="preserve">Agence RP : Square Egg Communications, Sandra Van Hauwaert, </w:t>
      </w:r>
      <w:hyperlink r:id="rId14" w:history="1">
        <w:r w:rsidRPr="00E63DD1">
          <w:rPr>
            <w:rStyle w:val="Hyperlink"/>
            <w:rFonts w:ascii="Calibri" w:hAnsi="Calibri" w:cs="Calibri"/>
            <w:sz w:val="20"/>
            <w:szCs w:val="20"/>
            <w:lang w:val="fr-FR"/>
          </w:rPr>
          <w:t>sandra@square-egg.be</w:t>
        </w:r>
      </w:hyperlink>
      <w:r w:rsidRPr="00E63DD1">
        <w:rPr>
          <w:rFonts w:ascii="Calibri" w:hAnsi="Calibri" w:cs="Calibri"/>
          <w:sz w:val="20"/>
          <w:szCs w:val="20"/>
          <w:lang w:val="fr-FR"/>
        </w:rPr>
        <w:t>, GSM 0497 251816</w:t>
      </w:r>
    </w:p>
    <w:sectPr w:rsidR="00E63DD1" w:rsidRPr="00E63DD1" w:rsidSect="0031010E">
      <w:pgSz w:w="11910" w:h="16840"/>
      <w:pgMar w:top="1760" w:right="900" w:bottom="1900" w:left="1200" w:header="1374" w:footer="1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EF1F" w14:textId="77777777" w:rsidR="0031010E" w:rsidRDefault="0031010E">
      <w:r>
        <w:separator/>
      </w:r>
    </w:p>
  </w:endnote>
  <w:endnote w:type="continuationSeparator" w:id="0">
    <w:p w14:paraId="3FC3377B" w14:textId="77777777" w:rsidR="0031010E" w:rsidRDefault="0031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8A1E" w14:textId="77777777" w:rsidR="0031010E" w:rsidRDefault="0031010E">
      <w:r>
        <w:separator/>
      </w:r>
    </w:p>
  </w:footnote>
  <w:footnote w:type="continuationSeparator" w:id="0">
    <w:p w14:paraId="25465001" w14:textId="77777777" w:rsidR="0031010E" w:rsidRDefault="0031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56EA8"/>
    <w:multiLevelType w:val="hybridMultilevel"/>
    <w:tmpl w:val="C784860C"/>
    <w:lvl w:ilvl="0" w:tplc="FE6AD2BC">
      <w:numFmt w:val="bullet"/>
      <w:lvlText w:val="•"/>
      <w:lvlJc w:val="left"/>
      <w:pPr>
        <w:ind w:left="103" w:hanging="15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2EC40E">
      <w:numFmt w:val="bullet"/>
      <w:lvlText w:val="•"/>
      <w:lvlJc w:val="left"/>
      <w:pPr>
        <w:ind w:left="1070" w:hanging="151"/>
      </w:pPr>
      <w:rPr>
        <w:rFonts w:hint="default"/>
        <w:lang w:val="en-US" w:eastAsia="en-US" w:bidi="ar-SA"/>
      </w:rPr>
    </w:lvl>
    <w:lvl w:ilvl="2" w:tplc="C6D4271C">
      <w:numFmt w:val="bullet"/>
      <w:lvlText w:val="•"/>
      <w:lvlJc w:val="left"/>
      <w:pPr>
        <w:ind w:left="2040" w:hanging="151"/>
      </w:pPr>
      <w:rPr>
        <w:rFonts w:hint="default"/>
        <w:lang w:val="en-US" w:eastAsia="en-US" w:bidi="ar-SA"/>
      </w:rPr>
    </w:lvl>
    <w:lvl w:ilvl="3" w:tplc="EAC6606E">
      <w:numFmt w:val="bullet"/>
      <w:lvlText w:val="•"/>
      <w:lvlJc w:val="left"/>
      <w:pPr>
        <w:ind w:left="3011" w:hanging="151"/>
      </w:pPr>
      <w:rPr>
        <w:rFonts w:hint="default"/>
        <w:lang w:val="en-US" w:eastAsia="en-US" w:bidi="ar-SA"/>
      </w:rPr>
    </w:lvl>
    <w:lvl w:ilvl="4" w:tplc="E1FC19C0">
      <w:numFmt w:val="bullet"/>
      <w:lvlText w:val="•"/>
      <w:lvlJc w:val="left"/>
      <w:pPr>
        <w:ind w:left="3981" w:hanging="151"/>
      </w:pPr>
      <w:rPr>
        <w:rFonts w:hint="default"/>
        <w:lang w:val="en-US" w:eastAsia="en-US" w:bidi="ar-SA"/>
      </w:rPr>
    </w:lvl>
    <w:lvl w:ilvl="5" w:tplc="337C622A">
      <w:numFmt w:val="bullet"/>
      <w:lvlText w:val="•"/>
      <w:lvlJc w:val="left"/>
      <w:pPr>
        <w:ind w:left="4952" w:hanging="151"/>
      </w:pPr>
      <w:rPr>
        <w:rFonts w:hint="default"/>
        <w:lang w:val="en-US" w:eastAsia="en-US" w:bidi="ar-SA"/>
      </w:rPr>
    </w:lvl>
    <w:lvl w:ilvl="6" w:tplc="3B384180">
      <w:numFmt w:val="bullet"/>
      <w:lvlText w:val="•"/>
      <w:lvlJc w:val="left"/>
      <w:pPr>
        <w:ind w:left="5922" w:hanging="151"/>
      </w:pPr>
      <w:rPr>
        <w:rFonts w:hint="default"/>
        <w:lang w:val="en-US" w:eastAsia="en-US" w:bidi="ar-SA"/>
      </w:rPr>
    </w:lvl>
    <w:lvl w:ilvl="7" w:tplc="4DC6152C">
      <w:numFmt w:val="bullet"/>
      <w:lvlText w:val="•"/>
      <w:lvlJc w:val="left"/>
      <w:pPr>
        <w:ind w:left="6892" w:hanging="151"/>
      </w:pPr>
      <w:rPr>
        <w:rFonts w:hint="default"/>
        <w:lang w:val="en-US" w:eastAsia="en-US" w:bidi="ar-SA"/>
      </w:rPr>
    </w:lvl>
    <w:lvl w:ilvl="8" w:tplc="B0564F5E">
      <w:numFmt w:val="bullet"/>
      <w:lvlText w:val="•"/>
      <w:lvlJc w:val="left"/>
      <w:pPr>
        <w:ind w:left="7863" w:hanging="151"/>
      </w:pPr>
      <w:rPr>
        <w:rFonts w:hint="default"/>
        <w:lang w:val="en-US" w:eastAsia="en-US" w:bidi="ar-SA"/>
      </w:rPr>
    </w:lvl>
  </w:abstractNum>
  <w:num w:numId="1" w16cid:durableId="84960555">
    <w:abstractNumId w:val="0"/>
  </w:num>
  <w:num w:numId="2" w16cid:durableId="2799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DB"/>
    <w:rsid w:val="00160A19"/>
    <w:rsid w:val="0029201D"/>
    <w:rsid w:val="002A30E0"/>
    <w:rsid w:val="00307FE1"/>
    <w:rsid w:val="0031010E"/>
    <w:rsid w:val="003C7701"/>
    <w:rsid w:val="005329DB"/>
    <w:rsid w:val="00653DC6"/>
    <w:rsid w:val="00680531"/>
    <w:rsid w:val="006C3FCC"/>
    <w:rsid w:val="00B440B8"/>
    <w:rsid w:val="00E63DD1"/>
    <w:rsid w:val="00F25D2A"/>
    <w:rsid w:val="00F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B2A7"/>
  <w15:docId w15:val="{39CB322A-3358-464D-961C-B60AC1D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653DC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ind w:left="103" w:right="829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103"/>
    </w:pPr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TitelChar">
    <w:name w:val="Titel Char"/>
    <w:basedOn w:val="Standaardalinea-lettertype"/>
    <w:link w:val="Titel"/>
    <w:uiPriority w:val="10"/>
    <w:rsid w:val="00653DC6"/>
    <w:rPr>
      <w:rFonts w:ascii="Arial" w:eastAsia="Arial" w:hAnsi="Arial" w:cs="Arial"/>
      <w:b/>
      <w:bCs/>
      <w:sz w:val="36"/>
      <w:szCs w:val="3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53DC6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53DC6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53DC6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nl-NL"/>
      <w14:ligatures w14:val="standardContextual"/>
    </w:rPr>
  </w:style>
  <w:style w:type="paragraph" w:customStyle="1" w:styleId="Default">
    <w:name w:val="Default"/>
    <w:rsid w:val="00653DC6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eta.Lammerse@dkv-mobil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ndesnetzagentur.de/DE/Fachthemen/ElektrizitaetundGas/E-Mobilitaet/star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ingelectric.de/stromtankstellen/Deutschla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v-mobility.com/" TargetMode="External"/><Relationship Id="rId14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7D80-F4EF-4FCA-8712-DE69667A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2</cp:revision>
  <dcterms:created xsi:type="dcterms:W3CDTF">2024-03-10T08:34:00Z</dcterms:created>
  <dcterms:modified xsi:type="dcterms:W3CDTF">2024-03-10T08:34:00Z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für Microsoft 365</vt:lpwstr>
  </property>
</Properties>
</file>